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color w:val="ff6600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ff6600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6600"/>
          <w:sz w:val="38"/>
          <w:szCs w:val="38"/>
          <w:rtl w:val="0"/>
        </w:rPr>
        <w:t xml:space="preserve">50% de empresas en México consideran la omnicanalidad como prioridad: ¿cómo interviene el procesamiento de pagos?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Montserrat" w:cs="Montserrat" w:eastAsia="Montserrat" w:hAnsi="Montserrat"/>
          <w:i w:val="1"/>
          <w:color w:val="66666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Open Sans" w:cs="Open Sans" w:eastAsia="Open Sans" w:hAnsi="Open Sans"/>
          <w:i w:val="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i w:val="1"/>
          <w:highlight w:val="white"/>
          <w:rtl w:val="0"/>
        </w:rPr>
        <w:t xml:space="preserve">El comportamiento omnicanal del cliente moderno modificó las maneras en las que compra y paga. 51% de las empresas mexicanas consideran que una de sus prioridades digitales en 2022 será una estrategia omnicanal.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i w:val="1"/>
          <w:color w:val="66666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Sergio Villarruel, Director General de Fiserv en México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Una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experiencia positiva de pago comienza desde el momento en que el consumidor decide adquirir un producto. A la par, la línea entre los canales de venta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 offline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y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online es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cada vez más corta, por lo que los clientes llevan progresivamente el proceso de compra hacia una interacción omnicanal.</w:t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la actualidad, los cobros en los negocios suponen un gran reto a nivel de expectativas.  El consumidor confía en que pagará con la misma fluidez en tiendas físicas y en línea. En el estudio </w:t>
      </w:r>
      <w:hyperlink r:id="rId7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u w:val="single"/>
            <w:rtl w:val="0"/>
          </w:rPr>
          <w:t xml:space="preserve">El consumidor mexicano: un nuevo journey omnicanal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 de IAB México se identificó que un 70% de los participantes declararon que prefieren comprar en sitios en línea o a través de apps de tiendas físicas con presencia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online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La consultora Multiplica publicó el informe </w:t>
      </w:r>
      <w:hyperlink r:id="rId8">
        <w:r w:rsidDel="00000000" w:rsidR="00000000" w:rsidRPr="00000000">
          <w:rPr>
            <w:rFonts w:ascii="Open Sans" w:cs="Open Sans" w:eastAsia="Open Sans" w:hAnsi="Open Sans"/>
            <w:b w:val="1"/>
            <w:color w:val="1155cc"/>
            <w:u w:val="single"/>
            <w:rtl w:val="0"/>
          </w:rPr>
          <w:t xml:space="preserve">Prioridades Digitales de las Empresas 2022</w:t>
        </w:r>
      </w:hyperlink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, en el que midieron la evolución del desempeño  en los canales digitales de negocios en México y América del Sur. Al preguntarles a las compañías cuáles consideraban que son prioridades digitales en 2022, un 51% contestaron que las estrategias de omnicanalidad. 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 objetivo de este modelo es ofrecer un servicio coherente y cohesivo en todos los puntos de venta y cobro disponibles trayendo en mundo físico y digital en un solo lugar y en una misma jornada de usuario. </w:t>
      </w:r>
    </w:p>
    <w:p w:rsidR="00000000" w:rsidDel="00000000" w:rsidP="00000000" w:rsidRDefault="00000000" w:rsidRPr="00000000" w14:paraId="0000000E">
      <w:pPr>
        <w:jc w:val="both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¿Qué puede hacer una empresa para implementar efectivamente la omnicanalidad en establecimientos y a través de e-commerce?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 punto de partida es valorar si su tecnología de procesamiento de pagos cumple con los requisitos.</w:t>
      </w:r>
    </w:p>
    <w:p w:rsidR="00000000" w:rsidDel="00000000" w:rsidP="00000000" w:rsidRDefault="00000000" w:rsidRPr="00000000" w14:paraId="00000012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Por ejemplo, algunos de los sistemas más completos de procesamiento de pagos funcionan bajo un concepto unificado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offline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y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online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De esta manera, cuando un cliente – por ejemplo – pregunta en la caja de un establecimientos si hay alguna opción de pago para no hacer fila, lo puede realizar directamente en la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web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con el dispositivo que tenga a la mano. </w:t>
      </w:r>
    </w:p>
    <w:p w:rsidR="00000000" w:rsidDel="00000000" w:rsidP="00000000" w:rsidRDefault="00000000" w:rsidRPr="00000000" w14:paraId="00000014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Los sistemas homologados incluyen alternativas como pagos sin contacto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 cobros a domicilio, lo que añade más alcance a la omnicanalidad. Por otro lado, si el negocio tiene un sitio de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e-commerce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debe procurar que sus métodos de pagos aceptados tengan las mismas características básicas como las que tienen sus opciones en caja, piso o puntos de venta como son: </w:t>
      </w:r>
    </w:p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Aceptación de todas las tarjetas bancarias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Estándares robustos de seguridad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Meses Sin Intereses </w:t>
      </w:r>
    </w:p>
    <w:p w:rsidR="00000000" w:rsidDel="00000000" w:rsidP="00000000" w:rsidRDefault="00000000" w:rsidRPr="00000000" w14:paraId="0000001A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resumen, al momento de hacer el pago, el cliente tiene que percibir que es un solo comercio el que lo atiende y obtener la misma experiencia, sin importar si el punto de contacto es físico o digital. El nuevo entorno exige tecnología que contribuya a crear entidades omnicanal para satisfacer las necesidades y expectativas del consumidor de hoy. </w:t>
      </w:r>
    </w:p>
    <w:p w:rsidR="00000000" w:rsidDel="00000000" w:rsidP="00000000" w:rsidRDefault="00000000" w:rsidRPr="00000000" w14:paraId="0000001C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Fiserv cuenta con terminales fijas y móviles y sistemas de integración de cajas con PIN Pad totalmente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 contactless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que aceptan todas las tarjetas nacionales y extranjeras. Esta tecnología se complementa con Gateway de Fiserv, una suite multifuncional para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e-commerce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que incluye distintos métodos digitales de pago. </w:t>
      </w:r>
    </w:p>
    <w:p w:rsidR="00000000" w:rsidDel="00000000" w:rsidP="00000000" w:rsidRDefault="00000000" w:rsidRPr="00000000" w14:paraId="0000001E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Ambas soluciones se diseñaron para desempeñarse exactamente con los mismos estándares de rapidez, seguridad y operatividad, con el objetivo de proveer una estructura de compra y pago omnicanal con el consumidor en el centro sin importar por dónde decida interactuar, y finalmente pagar. Así, la omnicanalidad está en nuestro ADN como líder de pagos y proveedores de tecnología financiera e impulsadores de un ecosistema de comercio unificado.</w:t>
      </w:r>
    </w:p>
    <w:p w:rsidR="00000000" w:rsidDel="00000000" w:rsidP="00000000" w:rsidRDefault="00000000" w:rsidRPr="00000000" w14:paraId="00000020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La omnicanalidad pone al consumidor en primer lugar y promete un cambio positivo en el crecimiento de los negocios, una tendencia ya materializada en Norteamérica, Europa y Asia y con auge en Latinoamérica.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*****</w:t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Acerca de Fiserv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Acerca de Fiserv </w:t>
      </w:r>
    </w:p>
    <w:p w:rsidR="00000000" w:rsidDel="00000000" w:rsidP="00000000" w:rsidRDefault="00000000" w:rsidRPr="00000000" w14:paraId="0000002D">
      <w:pP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Fiserv, Inc. (NASDAQ: FISV) aspira a mover dinero e información en una manera que mueva al mundo. Como un líder mundial en pagos y tecnología financiera, la compañía ayuda a los clientes a lograr los mejores resultados a través de un compromiso con la innovación y la excelencia en áreas que incluyen procesamiento de cuentas y soluciones de banca digital; procesamiento emisor de tarjetas y servicios de red; pagos; comercio electrónico; la adquirencia y procesamiento de comercios; y la solución de punto de venta basada en la nube Clover®. Fiserv es miembro del Índice S&amp;P500® y ha sido reconocida como una de las Compañías Más Admiradas del Mundo de FORTUNE® en 11 de los pasados 14 años y nombrada una de las Empresas Mas Innovadoras del Mundo por Fast Company por dos años consecutivos. Visite fiserv.com y síganos en las redes sociales para obtener más información y las últimas noticias de la compañía.</w:t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Facebook: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Fiserv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Instagram: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Fiserv México</w:t>
        </w:r>
      </w:hyperlink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Youtube: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Fiserv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Página web: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highlight w:val="white"/>
            <w:u w:val="single"/>
            <w:rtl w:val="0"/>
          </w:rPr>
          <w:t xml:space="preserve">Fiserv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Contacto: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EJECUTIVO DE CUENTA</w:t>
        <w:tab/>
      </w:r>
    </w:p>
    <w:p w:rsidR="00000000" w:rsidDel="00000000" w:rsidP="00000000" w:rsidRDefault="00000000" w:rsidRPr="00000000" w14:paraId="00000039">
      <w:pPr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ab/>
        <w:tab/>
      </w:r>
    </w:p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Ameyalli Sampedro</w:t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  <w:sz w:val="18"/>
          <w:szCs w:val="18"/>
        </w:rPr>
      </w:pP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ameyalli.sampedro@another.co</w:t>
        </w:r>
      </w:hyperlink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5523659465</w:t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pos="4419"/>
        <w:tab w:val="right" w:pos="8838"/>
        <w:tab w:val="left" w:pos="3450"/>
      </w:tabs>
      <w:spacing w:line="240" w:lineRule="auto"/>
      <w:rPr>
        <w:rFonts w:ascii="Open Sans" w:cs="Open Sans" w:eastAsia="Open Sans" w:hAnsi="Open Sans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697609" cy="875966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609" cy="8759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160" w:line="259" w:lineRule="auto"/>
      <w:rPr>
        <w:rFonts w:ascii="Open Sans" w:cs="Open Sans" w:eastAsia="Open Sans" w:hAnsi="Open Sans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731200" cy="635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A2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EA265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EA2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EA265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EA265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channel/UCoWqenelNyhJZc_fj3M09pg" TargetMode="External"/><Relationship Id="rId10" Type="http://schemas.openxmlformats.org/officeDocument/2006/relationships/hyperlink" Target="https://www.instagram.com/fiservmexico/" TargetMode="External"/><Relationship Id="rId13" Type="http://schemas.openxmlformats.org/officeDocument/2006/relationships/hyperlink" Target="mailto:ameyalli.sampedro@another.co" TargetMode="External"/><Relationship Id="rId12" Type="http://schemas.openxmlformats.org/officeDocument/2006/relationships/hyperlink" Target="https://merchants.fiserv.com/es-m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fiservmexico/?epa=SEARCH_BOX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abmexico.com/estudios/el-consumidor-mexicano-un-nuevo-journey-omnicanal/" TargetMode="External"/><Relationship Id="rId8" Type="http://schemas.openxmlformats.org/officeDocument/2006/relationships/hyperlink" Target="https://www.multiplica.com/conocimiento/estudios-informes/prioridades-digitales-de-las-empresas-en-2022/?utm_source=linkedin&amp;utm_medium=post&amp;utm_campaign=informe-prioridades-digitales-2022-Q1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56Y0sdzT8QPdhCHB6wglt6RxiQ==">AMUW2mWY9Yj/J8fNy67iQAlBH2ATAxxAFlpGQ06SbHAS72fVKLSDp6jdqrInoBnGOGRbv35l5Q/VjElg8VZBLx+a9zOAzot/dMyhQiny59wPi8IlVbVsfnniekrDgk4sFFyG4VPkbNeu6TAUxVdfP+2l3coqI1qAog==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2022-03-28T03:28:00Z</dcterms:created>
</cp:coreProperties>
</file>